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1B1" w:rsidRPr="001D61B1" w:rsidRDefault="001D61B1">
      <w:pPr>
        <w:rPr>
          <w:rFonts w:ascii="Montserrat" w:hAnsi="Montserrat" w:cs="Arial"/>
          <w:sz w:val="24"/>
          <w:szCs w:val="24"/>
        </w:rPr>
      </w:pPr>
    </w:p>
    <w:p w:rsidR="001D61B1" w:rsidRPr="001D61B1" w:rsidRDefault="001D61B1" w:rsidP="001D61B1">
      <w:pPr>
        <w:jc w:val="center"/>
        <w:rPr>
          <w:rFonts w:ascii="Montserrat" w:hAnsi="Montserrat" w:cs="Arial"/>
          <w:b/>
          <w:bCs/>
          <w:sz w:val="24"/>
          <w:szCs w:val="24"/>
        </w:rPr>
      </w:pPr>
      <w:r w:rsidRPr="001D61B1">
        <w:rPr>
          <w:rFonts w:ascii="Montserrat" w:hAnsi="Montserrat" w:cs="Arial"/>
          <w:b/>
          <w:bCs/>
          <w:sz w:val="24"/>
          <w:szCs w:val="24"/>
        </w:rPr>
        <w:t>Capítulo II</w:t>
      </w:r>
    </w:p>
    <w:p w:rsidR="001D61B1" w:rsidRDefault="001D61B1" w:rsidP="001D61B1">
      <w:pPr>
        <w:jc w:val="center"/>
        <w:rPr>
          <w:rFonts w:ascii="Montserrat" w:hAnsi="Montserrat" w:cs="Arial"/>
          <w:b/>
          <w:bCs/>
          <w:sz w:val="24"/>
          <w:szCs w:val="24"/>
        </w:rPr>
      </w:pPr>
      <w:r w:rsidRPr="001D61B1">
        <w:rPr>
          <w:rFonts w:ascii="Montserrat" w:hAnsi="Montserrat" w:cs="Arial"/>
          <w:b/>
          <w:bCs/>
          <w:sz w:val="24"/>
          <w:szCs w:val="24"/>
        </w:rPr>
        <w:t>De las Cuotas de Acceso</w:t>
      </w:r>
    </w:p>
    <w:p w:rsidR="001D61B1" w:rsidRPr="001D61B1" w:rsidRDefault="001D61B1" w:rsidP="001D61B1">
      <w:pPr>
        <w:jc w:val="center"/>
        <w:rPr>
          <w:rFonts w:ascii="Montserrat" w:hAnsi="Montserrat" w:cs="Arial"/>
          <w:b/>
          <w:bCs/>
          <w:sz w:val="24"/>
          <w:szCs w:val="24"/>
        </w:rPr>
      </w:pPr>
    </w:p>
    <w:p w:rsidR="001D61B1" w:rsidRPr="001D61B1" w:rsidRDefault="001D61B1" w:rsidP="001D61B1">
      <w:pPr>
        <w:jc w:val="both"/>
        <w:rPr>
          <w:rFonts w:ascii="Montserrat" w:hAnsi="Montserrat" w:cs="Arial"/>
          <w:sz w:val="24"/>
          <w:szCs w:val="24"/>
        </w:rPr>
      </w:pPr>
      <w:r w:rsidRPr="001D61B1">
        <w:rPr>
          <w:rFonts w:ascii="Montserrat" w:hAnsi="Montserrat" w:cs="Arial"/>
          <w:b/>
          <w:bCs/>
          <w:sz w:val="24"/>
          <w:szCs w:val="24"/>
        </w:rPr>
        <w:t>Artículo 141</w:t>
      </w:r>
      <w:r w:rsidRPr="001D61B1">
        <w:rPr>
          <w:rFonts w:ascii="Montserrat" w:hAnsi="Montserrat" w:cs="Arial"/>
          <w:sz w:val="24"/>
          <w:szCs w:val="24"/>
        </w:rPr>
        <w:t>.</w:t>
      </w:r>
      <w:r w:rsidRPr="001D61B1">
        <w:rPr>
          <w:rFonts w:ascii="Montserrat" w:hAnsi="Montserrat" w:cs="Arial"/>
          <w:sz w:val="24"/>
          <w:szCs w:val="24"/>
        </w:rPr>
        <w:t xml:space="preserve"> </w:t>
      </w:r>
      <w:r w:rsidRPr="001D61B1">
        <w:rPr>
          <w:rFonts w:ascii="Montserrat" w:hAnsi="Montserrat" w:cs="Arial"/>
          <w:sz w:val="24"/>
          <w:szCs w:val="24"/>
        </w:rPr>
        <w:t>En caso de existir costos para obtener la información, deberán cubrirse de manera previa a la entrega y no podrán ser superiores a la suma de:</w:t>
      </w:r>
      <w:bookmarkStart w:id="0" w:name="_GoBack"/>
      <w:bookmarkEnd w:id="0"/>
    </w:p>
    <w:p w:rsidR="001D61B1" w:rsidRDefault="001D61B1" w:rsidP="001D61B1">
      <w:pPr>
        <w:pStyle w:val="Prrafodelista"/>
        <w:numPr>
          <w:ilvl w:val="0"/>
          <w:numId w:val="1"/>
        </w:numPr>
        <w:spacing w:line="360" w:lineRule="auto"/>
        <w:jc w:val="both"/>
        <w:rPr>
          <w:rFonts w:ascii="Montserrat" w:hAnsi="Montserrat" w:cs="Arial"/>
          <w:sz w:val="24"/>
          <w:szCs w:val="24"/>
        </w:rPr>
      </w:pPr>
      <w:r w:rsidRPr="001D61B1">
        <w:rPr>
          <w:rFonts w:ascii="Montserrat" w:hAnsi="Montserrat" w:cs="Arial"/>
          <w:sz w:val="24"/>
          <w:szCs w:val="24"/>
        </w:rPr>
        <w:t>El costo de los materiales utilizados en la reproducción de la información;</w:t>
      </w:r>
    </w:p>
    <w:p w:rsidR="001D61B1" w:rsidRDefault="001D61B1" w:rsidP="001D61B1">
      <w:pPr>
        <w:pStyle w:val="Prrafodelista"/>
        <w:numPr>
          <w:ilvl w:val="0"/>
          <w:numId w:val="1"/>
        </w:numPr>
        <w:spacing w:line="360" w:lineRule="auto"/>
        <w:jc w:val="both"/>
        <w:rPr>
          <w:rFonts w:ascii="Montserrat" w:hAnsi="Montserrat" w:cs="Arial"/>
          <w:sz w:val="24"/>
          <w:szCs w:val="24"/>
        </w:rPr>
      </w:pPr>
      <w:r w:rsidRPr="001D61B1">
        <w:rPr>
          <w:rFonts w:ascii="Montserrat" w:hAnsi="Montserrat" w:cs="Arial"/>
          <w:sz w:val="24"/>
          <w:szCs w:val="24"/>
        </w:rPr>
        <w:t xml:space="preserve">El costo de envío, en su caso, </w:t>
      </w:r>
      <w:proofErr w:type="spellStart"/>
      <w:r w:rsidRPr="001D61B1">
        <w:rPr>
          <w:rFonts w:ascii="Montserrat" w:hAnsi="Montserrat" w:cs="Arial"/>
          <w:sz w:val="24"/>
          <w:szCs w:val="24"/>
        </w:rPr>
        <w:t>y</w:t>
      </w:r>
      <w:proofErr w:type="spellEnd"/>
    </w:p>
    <w:p w:rsidR="001D61B1" w:rsidRPr="001D61B1" w:rsidRDefault="001D61B1" w:rsidP="001D61B1">
      <w:pPr>
        <w:pStyle w:val="Prrafodelista"/>
        <w:numPr>
          <w:ilvl w:val="0"/>
          <w:numId w:val="1"/>
        </w:numPr>
        <w:spacing w:line="360" w:lineRule="auto"/>
        <w:jc w:val="both"/>
        <w:rPr>
          <w:rFonts w:ascii="Montserrat" w:hAnsi="Montserrat" w:cs="Arial"/>
          <w:sz w:val="24"/>
          <w:szCs w:val="24"/>
        </w:rPr>
      </w:pPr>
      <w:r w:rsidRPr="001D61B1">
        <w:rPr>
          <w:rFonts w:ascii="Montserrat" w:hAnsi="Montserrat" w:cs="Arial"/>
          <w:sz w:val="24"/>
          <w:szCs w:val="24"/>
        </w:rPr>
        <w:t>El pago de la certificación de los Documentos, cuando proceda.</w:t>
      </w:r>
    </w:p>
    <w:p w:rsidR="001D61B1" w:rsidRPr="001D61B1" w:rsidRDefault="001D61B1" w:rsidP="001D61B1">
      <w:pPr>
        <w:jc w:val="both"/>
        <w:rPr>
          <w:rFonts w:ascii="Montserrat" w:hAnsi="Montserrat" w:cs="Arial"/>
          <w:sz w:val="24"/>
          <w:szCs w:val="24"/>
        </w:rPr>
      </w:pPr>
      <w:r w:rsidRPr="001D61B1">
        <w:rPr>
          <w:rFonts w:ascii="Montserrat" w:hAnsi="Montserrat" w:cs="Arial"/>
          <w:sz w:val="24"/>
          <w:szCs w:val="24"/>
        </w:rPr>
        <w:t>Las cuotas de los derechos aplicables deberán establecerse en la Ley Federal de Derechos,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solicitó.</w:t>
      </w:r>
    </w:p>
    <w:p w:rsidR="001D61B1" w:rsidRPr="001D61B1" w:rsidRDefault="001D61B1" w:rsidP="001D61B1">
      <w:pPr>
        <w:jc w:val="both"/>
        <w:rPr>
          <w:rFonts w:ascii="Montserrat" w:hAnsi="Montserrat" w:cs="Arial"/>
          <w:sz w:val="24"/>
          <w:szCs w:val="24"/>
        </w:rPr>
      </w:pPr>
      <w:r w:rsidRPr="001D61B1">
        <w:rPr>
          <w:rFonts w:ascii="Montserrat" w:hAnsi="Montserrat" w:cs="Arial"/>
          <w:sz w:val="24"/>
          <w:szCs w:val="24"/>
        </w:rPr>
        <w:t>Los sujetos obligados a los que no les sea aplicable la Ley Federal de Derechos deberán establecer cuotas que no deberán ser mayores a las dispuestas en dicha ley.</w:t>
      </w:r>
    </w:p>
    <w:p w:rsidR="005C54AD" w:rsidRPr="001D61B1" w:rsidRDefault="001D61B1" w:rsidP="001D61B1">
      <w:pPr>
        <w:jc w:val="both"/>
        <w:rPr>
          <w:rFonts w:ascii="Montserrat" w:hAnsi="Montserrat"/>
          <w:sz w:val="24"/>
          <w:szCs w:val="24"/>
        </w:rPr>
      </w:pPr>
      <w:r w:rsidRPr="001D61B1">
        <w:rPr>
          <w:rFonts w:ascii="Montserrat" w:hAnsi="Montserrat" w:cs="Arial"/>
          <w:sz w:val="24"/>
          <w:szCs w:val="24"/>
        </w:rPr>
        <w:t>La información deberá ser entregada sin costo, cuando implique la entrega de no más de veinte hojas simples. Las unidades de transparencia podrán exceptuar el pago de reproducción y envío atendiendo a las circunstancias socioeconómicas del solicitante.</w:t>
      </w:r>
    </w:p>
    <w:sectPr w:rsidR="005C54AD" w:rsidRPr="001D61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D174A"/>
    <w:multiLevelType w:val="hybridMultilevel"/>
    <w:tmpl w:val="B358E852"/>
    <w:lvl w:ilvl="0" w:tplc="91ECB9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B1"/>
    <w:rsid w:val="001D61B1"/>
    <w:rsid w:val="005C5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05C8"/>
  <w15:chartTrackingRefBased/>
  <w15:docId w15:val="{9664A340-5B5D-4DCE-8CAD-95A104EA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6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unidaddeenlace</dc:creator>
  <cp:keywords/>
  <dc:description/>
  <cp:lastModifiedBy>unidaddeenlace</cp:lastModifiedBy>
  <cp:revision>1</cp:revision>
  <dcterms:created xsi:type="dcterms:W3CDTF">2019-12-27T18:36:00Z</dcterms:created>
  <dcterms:modified xsi:type="dcterms:W3CDTF">2019-12-27T18:40:00Z</dcterms:modified>
</cp:coreProperties>
</file>